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5F99" w14:textId="77777777" w:rsidR="00C0717D" w:rsidRDefault="00C0717D" w:rsidP="00C0717D">
      <w:pPr>
        <w:spacing w:before="60" w:after="60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hAnsi="Arial" w:cs="Arial"/>
          <w:noProof/>
          <w:color w:val="000000"/>
        </w:rPr>
        <w:t>El Ministerio de Economía y Competitividad ha subvencionado un nuevo proyecto de investigación al grupo CoSoLen titulado “Variación sintáctica y creación del significado en español: los objetos centrales y las construcciones desubjetivizadoras”. Este proyecto, que se desarrollará a partir de enero de 2017</w:t>
      </w:r>
      <w:bookmarkStart w:id="0" w:name="_GoBack"/>
      <w:bookmarkEnd w:id="0"/>
      <w:r>
        <w:rPr>
          <w:rFonts w:ascii="Arial" w:hAnsi="Arial" w:cs="Arial"/>
          <w:noProof/>
          <w:color w:val="000000"/>
        </w:rPr>
        <w:t>, pretende dar continuidad a la investigación realizada por el grupo hasta el momento.  Así pues, e</w:t>
      </w:r>
      <w:r w:rsidRPr="00351CC6">
        <w:rPr>
          <w:rFonts w:ascii="Arial" w:hAnsi="Arial" w:cs="Arial"/>
          <w:noProof/>
          <w:color w:val="000000"/>
        </w:rPr>
        <w:t xml:space="preserve">l objetivo de este proyecto es </w:t>
      </w:r>
      <w:r>
        <w:rPr>
          <w:rFonts w:ascii="Arial" w:hAnsi="Arial" w:cs="Arial"/>
          <w:noProof/>
          <w:color w:val="000000"/>
        </w:rPr>
        <w:t>avanzar en la construcción de</w:t>
      </w:r>
      <w:r w:rsidRPr="00351CC6">
        <w:rPr>
          <w:rFonts w:ascii="Arial" w:hAnsi="Arial" w:cs="Arial"/>
          <w:noProof/>
          <w:color w:val="000000"/>
        </w:rPr>
        <w:t xml:space="preserve"> un modelo teórico de la variación morfosintáctica en lengua española, a partir de</w:t>
      </w:r>
      <w:r>
        <w:rPr>
          <w:rFonts w:ascii="Arial" w:hAnsi="Arial" w:cs="Arial"/>
          <w:noProof/>
          <w:color w:val="000000"/>
        </w:rPr>
        <w:t xml:space="preserve"> los</w:t>
      </w:r>
      <w:r w:rsidRPr="00351CC6">
        <w:rPr>
          <w:rFonts w:ascii="Arial" w:hAnsi="Arial" w:cs="Arial"/>
          <w:noProof/>
          <w:color w:val="000000"/>
        </w:rPr>
        <w:t xml:space="preserve"> resultados obtenidos en</w:t>
      </w:r>
      <w:r>
        <w:rPr>
          <w:rFonts w:ascii="Arial" w:hAnsi="Arial" w:cs="Arial"/>
          <w:noProof/>
          <w:color w:val="000000"/>
        </w:rPr>
        <w:t xml:space="preserve"> los proyectos precedentes</w:t>
      </w:r>
      <w:r w:rsidRPr="00351CC6">
        <w:rPr>
          <w:rFonts w:ascii="Arial" w:hAnsi="Arial" w:cs="Arial"/>
          <w:noProof/>
          <w:color w:val="000000"/>
        </w:rPr>
        <w:t xml:space="preserve"> basados en la misma línea de investigación. Su punto de partida es la incorporación de los últimos avances conceptuales y metodológicos realizados en los estudios sociolingüísticos sobre el estilo comunicativo, así como el recurso a los principios de la lingüística</w:t>
      </w:r>
      <w:r>
        <w:rPr>
          <w:rFonts w:ascii="Arial" w:hAnsi="Arial" w:cs="Arial"/>
          <w:noProof/>
          <w:color w:val="000000"/>
        </w:rPr>
        <w:t xml:space="preserve"> funcional y</w:t>
      </w:r>
      <w:r w:rsidRPr="00351CC6">
        <w:rPr>
          <w:rFonts w:ascii="Arial" w:hAnsi="Arial" w:cs="Arial"/>
          <w:noProof/>
          <w:color w:val="000000"/>
        </w:rPr>
        <w:t xml:space="preserve"> cognitiva como fundamento teórico del análisis, lo que lleva a contemplar cada elección lingüística como </w:t>
      </w:r>
      <w:r>
        <w:rPr>
          <w:rFonts w:ascii="Arial" w:hAnsi="Arial" w:cs="Arial"/>
          <w:noProof/>
          <w:color w:val="000000"/>
        </w:rPr>
        <w:t>dotada de significado inherente</w:t>
      </w:r>
      <w:r w:rsidRPr="00351CC6">
        <w:rPr>
          <w:rFonts w:ascii="Arial" w:hAnsi="Arial" w:cs="Arial"/>
          <w:noProof/>
          <w:color w:val="000000"/>
        </w:rPr>
        <w:t xml:space="preserve"> y no como mera alternativa formal a otras. </w:t>
      </w:r>
      <w:r>
        <w:rPr>
          <w:rFonts w:ascii="Arial" w:hAnsi="Arial" w:cs="Arial"/>
          <w:noProof/>
          <w:color w:val="000000"/>
        </w:rPr>
        <w:t>Paralelamente, se pretende continuar con el desarrollo de una</w:t>
      </w:r>
      <w:r w:rsidRPr="00351CC6">
        <w:rPr>
          <w:rFonts w:ascii="Arial" w:hAnsi="Arial" w:cs="Arial"/>
          <w:noProof/>
          <w:color w:val="000000"/>
        </w:rPr>
        <w:t xml:space="preserve"> metodología adecuada</w:t>
      </w:r>
      <w:r>
        <w:rPr>
          <w:rFonts w:ascii="Arial" w:hAnsi="Arial" w:cs="Arial"/>
          <w:noProof/>
          <w:color w:val="000000"/>
        </w:rPr>
        <w:t>, que combine</w:t>
      </w:r>
      <w:r w:rsidRPr="00351CC6">
        <w:rPr>
          <w:rFonts w:ascii="Arial" w:hAnsi="Arial" w:cs="Arial"/>
          <w:noProof/>
          <w:color w:val="000000"/>
        </w:rPr>
        <w:t xml:space="preserve"> los planos cuantitativo y cualitativo del análisis lingüístico. Dos son los fenómenos de variación que se pretende estudiar:</w:t>
      </w:r>
      <w:r>
        <w:rPr>
          <w:rFonts w:ascii="Arial" w:hAnsi="Arial" w:cs="Arial"/>
          <w:noProof/>
          <w:color w:val="000000"/>
        </w:rPr>
        <w:t xml:space="preserve"> la variabilidad en la formulación y la posición del objeto cliticizable (directo o indirecto), </w:t>
      </w:r>
      <w:r w:rsidRPr="00351CC6">
        <w:rPr>
          <w:rFonts w:ascii="Arial" w:hAnsi="Arial" w:cs="Arial"/>
          <w:noProof/>
          <w:color w:val="000000"/>
        </w:rPr>
        <w:t>e</w:t>
      </w:r>
      <w:r>
        <w:rPr>
          <w:rFonts w:ascii="Arial" w:hAnsi="Arial" w:cs="Arial"/>
          <w:noProof/>
          <w:color w:val="000000"/>
        </w:rPr>
        <w:t>n continuidad con estudios previos sobre la misma variación sobre el</w:t>
      </w:r>
      <w:r w:rsidRPr="00351CC6">
        <w:rPr>
          <w:rFonts w:ascii="Arial" w:hAnsi="Arial" w:cs="Arial"/>
          <w:noProof/>
          <w:color w:val="000000"/>
        </w:rPr>
        <w:t xml:space="preserve"> sujeto</w:t>
      </w:r>
      <w:r>
        <w:rPr>
          <w:rFonts w:ascii="Arial" w:hAnsi="Arial" w:cs="Arial"/>
          <w:noProof/>
          <w:color w:val="000000"/>
        </w:rPr>
        <w:t xml:space="preserve"> pronominal</w:t>
      </w:r>
      <w:r w:rsidRPr="00351CC6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y el objeto verbal de persona; y </w:t>
      </w:r>
      <w:r w:rsidRPr="00351CC6">
        <w:rPr>
          <w:rFonts w:ascii="Arial" w:hAnsi="Arial" w:cs="Arial"/>
          <w:noProof/>
          <w:color w:val="000000"/>
        </w:rPr>
        <w:t>el uso de</w:t>
      </w:r>
      <w:r>
        <w:rPr>
          <w:rFonts w:ascii="Arial" w:hAnsi="Arial" w:cs="Arial"/>
          <w:noProof/>
          <w:color w:val="000000"/>
        </w:rPr>
        <w:t xml:space="preserve"> </w:t>
      </w:r>
      <w:r w:rsidRPr="00351CC6">
        <w:rPr>
          <w:rFonts w:ascii="Arial" w:hAnsi="Arial" w:cs="Arial"/>
          <w:noProof/>
          <w:color w:val="000000"/>
        </w:rPr>
        <w:t xml:space="preserve">distintas estructuras </w:t>
      </w:r>
      <w:r>
        <w:rPr>
          <w:rFonts w:ascii="Arial" w:hAnsi="Arial" w:cs="Arial"/>
          <w:noProof/>
          <w:color w:val="000000"/>
        </w:rPr>
        <w:t>habitualmente clasificadas como impersonales</w:t>
      </w:r>
      <w:r w:rsidRPr="00351CC6">
        <w:rPr>
          <w:rFonts w:ascii="Arial" w:hAnsi="Arial" w:cs="Arial"/>
          <w:noProof/>
          <w:color w:val="000000"/>
        </w:rPr>
        <w:t xml:space="preserve">, </w:t>
      </w:r>
      <w:r>
        <w:rPr>
          <w:rFonts w:ascii="Arial" w:hAnsi="Arial" w:cs="Arial"/>
          <w:noProof/>
          <w:color w:val="000000"/>
        </w:rPr>
        <w:t>y que tienen en común el ser empleadas por el hablante para desplazar la perspectiva discursivo-cognitiva del discurso desde su propia esfera nocional hacia otra que se percibe como más general; esto es, con una función desubjetivizadora</w:t>
      </w:r>
      <w:r>
        <w:rPr>
          <w:rFonts w:ascii="Arial" w:hAnsi="Arial" w:cs="Arial"/>
          <w:noProof/>
          <w:color w:val="000000"/>
        </w:rPr>
        <w:t xml:space="preserve">. </w:t>
      </w:r>
      <w:r w:rsidRPr="006C2AC5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.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En esta segunda variable se analizarán las diversas construcciones gramaticales empleadas por el hablante como estrategia para desplazar el punto de vista discursivo-cognitivo del contenido fuera de su propia esfera nocional, a menudo con la intención de evitar atribuirse a sí mismo cierto contenido conceptual. Se trata de una extensión de nuestras investigaciones sobre el manejo discursivo de la referencia personal, a partir de otras estrategias desubjetivizadoras ya analizadas extensamente, en particular diversos usos de </w:t>
      </w:r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tú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y </w:t>
      </w:r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nosotros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como desdoblamientos del </w:t>
      </w:r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yo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(véase más arriba), y que también se tendrán en cuenta en esta nueva etapa, con el objetivo de llegar a una visión general del fenómeno de la objetivación. </w:t>
      </w:r>
    </w:p>
    <w:p w14:paraId="4FB750CA" w14:textId="77777777" w:rsidR="00C0717D" w:rsidRPr="00C0717D" w:rsidRDefault="00C0717D" w:rsidP="00C0717D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En conjunto, se pretende analizar las siguientes opciones gramaticales:</w:t>
      </w:r>
    </w:p>
    <w:p w14:paraId="46A337EA" w14:textId="77777777" w:rsidR="00C0717D" w:rsidRPr="001B25D9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>Construcciones de tercera persona: ‘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Dicen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que va a llover’; ‘A esa profesora le 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iban 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a dar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la baja’; ‘Me da igual para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dó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nde me 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lleven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>, con tal de salir’.</w:t>
      </w:r>
    </w:p>
    <w:p w14:paraId="7EA4E060" w14:textId="77777777" w:rsidR="00C0717D" w:rsidRPr="001B25D9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El pronombre 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uno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>/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una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con referencia inespecífica, y en función tanto de sujeto como de objeto: ‘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Uno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no sabe qué hacer en estas situaciones’; ‘Estas cosas molestan 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a una’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>.</w:t>
      </w:r>
    </w:p>
    <w:p w14:paraId="1640B0F3" w14:textId="77777777" w:rsidR="00C0717D" w:rsidRPr="001B25D9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Las perífrasis de obligación sin sujeto gramatical, con el esquema 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haber que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+ infinitivo: ‘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Hay que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poner la lavadora’; ‘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Hay que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hacerlo rápido’.</w:t>
      </w:r>
    </w:p>
    <w:p w14:paraId="4AD1074F" w14:textId="77777777" w:rsidR="00C0717D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Las construcciones impersonales con 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>: ‘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vive mejor en el campo que en la ciudad’; ‘</w:t>
      </w:r>
      <w:r w:rsidRPr="001B25D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</w:t>
      </w:r>
      <w:r w:rsidRPr="001B25D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come bien en este restaurante’.</w:t>
      </w:r>
    </w:p>
    <w:p w14:paraId="501241E8" w14:textId="77777777" w:rsidR="00C0717D" w:rsidRPr="005D17AC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El uso del sintagma 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la gente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, en función de sujeto o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de objeto: ‘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La gente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viene a comprar los sábados’; ‘Eso es lo que le importa a 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la gente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’.</w:t>
      </w:r>
    </w:p>
    <w:p w14:paraId="677743CF" w14:textId="77777777" w:rsidR="00C0717D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4C4BF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Las construcciones pasivas reflejas con </w:t>
      </w:r>
      <w:r w:rsidRPr="004C4BF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</w:t>
      </w:r>
      <w:r w:rsidRPr="004C4BF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, estrechamente conectadas con las anteriores, pero también con las pasivas con el auxiliar </w:t>
      </w:r>
      <w:r w:rsidRPr="004C4BF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ser</w:t>
      </w:r>
      <w:r w:rsidRPr="004C4BF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: ‘Los perfumes </w:t>
      </w:r>
      <w:r w:rsidRPr="004C4BF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</w:t>
      </w:r>
      <w:r w:rsidRPr="004C4BF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extraen de las plantas’; ‘</w:t>
      </w:r>
      <w:r w:rsidRPr="004C4BF9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</w:t>
      </w:r>
      <w:r w:rsidRPr="004C4BF9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convoca una manifestación’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.</w:t>
      </w:r>
    </w:p>
    <w:p w14:paraId="657156EE" w14:textId="77777777" w:rsidR="00C0717D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Las construcciones de pasiva con </w:t>
      </w:r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ser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constituyen también un recurso de difuminación u ocultación del hablante, toda vez que existe variación entre la expresión y omisión del agente: ‘El incendio fue provocado (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por los excursionistas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)’.</w:t>
      </w:r>
    </w:p>
    <w:p w14:paraId="4820D688" w14:textId="77777777" w:rsidR="00C0717D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lastRenderedPageBreak/>
        <w:t xml:space="preserve">La segunda persona del singular 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tú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como estrategia de objetivación, en función de sujeto y de objeto: ‘Cuando hace buen tiempo, 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sales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a la calle’; ‘Si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amas lo que haces, 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ni los lunes 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a ti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te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quitan la sonrisa’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.</w:t>
      </w:r>
    </w:p>
    <w:p w14:paraId="2ED2F2BA" w14:textId="77777777" w:rsidR="00C0717D" w:rsidRPr="00DF57B5" w:rsidRDefault="00C0717D" w:rsidP="00C0717D">
      <w:pPr>
        <w:pStyle w:val="Prrafodelista"/>
        <w:numPr>
          <w:ilvl w:val="0"/>
          <w:numId w:val="1"/>
        </w:numPr>
        <w:tabs>
          <w:tab w:val="left" w:pos="9071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La primera persona del plural 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nosotros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como estrateg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ia de difuminación del hablante,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en función de sujeto y de objeto: ‘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Estamos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en medio de una alerta por lluvias’;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>‘La bolsa de Madrid no para de dar</w:t>
      </w:r>
      <w:r w:rsidRPr="0000121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nos</w:t>
      </w:r>
      <w:r w:rsidRPr="000012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sustos’.</w:t>
      </w:r>
    </w:p>
    <w:p w14:paraId="6DB6A2CF" w14:textId="77777777" w:rsidR="00C0717D" w:rsidRDefault="00C0717D" w:rsidP="00C0717D">
      <w:pPr>
        <w:spacing w:before="60" w:after="60"/>
        <w:jc w:val="both"/>
        <w:rPr>
          <w:rFonts w:ascii="Arial" w:hAnsi="Arial" w:cs="Arial"/>
          <w:noProof/>
          <w:color w:val="000000"/>
        </w:rPr>
      </w:pPr>
    </w:p>
    <w:p w14:paraId="1290C5DB" w14:textId="38AF2726" w:rsidR="00BD3339" w:rsidRPr="00C0717D" w:rsidRDefault="00C0717D" w:rsidP="00C0717D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351CC6">
        <w:rPr>
          <w:rFonts w:ascii="Arial" w:hAnsi="Arial" w:cs="Arial"/>
          <w:noProof/>
          <w:color w:val="000000"/>
        </w:rPr>
        <w:t xml:space="preserve">Para todo ello se utilizarán los materiales que ofrecen </w:t>
      </w:r>
      <w:r>
        <w:rPr>
          <w:rFonts w:ascii="Arial" w:hAnsi="Arial" w:cs="Arial"/>
          <w:noProof/>
          <w:color w:val="000000"/>
        </w:rPr>
        <w:t>tres</w:t>
      </w:r>
      <w:r w:rsidRPr="00351CC6">
        <w:rPr>
          <w:rFonts w:ascii="Arial" w:hAnsi="Arial" w:cs="Arial"/>
          <w:noProof/>
          <w:color w:val="000000"/>
        </w:rPr>
        <w:t xml:space="preserve"> corpus sincrónicos de español oral y escrito</w:t>
      </w:r>
      <w:r>
        <w:rPr>
          <w:rFonts w:ascii="Arial" w:hAnsi="Arial" w:cs="Arial"/>
          <w:noProof/>
          <w:color w:val="000000"/>
        </w:rPr>
        <w:t xml:space="preserve"> (Corpus Conversacional del Español de Canarias</w:t>
      </w:r>
      <w:r w:rsidR="005D5A35">
        <w:rPr>
          <w:rFonts w:ascii="Arial" w:hAnsi="Arial" w:cs="Arial"/>
          <w:noProof/>
          <w:color w:val="000000"/>
        </w:rPr>
        <w:t xml:space="preserve"> (CCEC)</w:t>
      </w:r>
      <w:r>
        <w:rPr>
          <w:rFonts w:ascii="Arial" w:hAnsi="Arial" w:cs="Arial"/>
          <w:noProof/>
          <w:color w:val="000000"/>
        </w:rPr>
        <w:t>, Corpus de Lenguaje de los Medios de Comunicación de Salamanca</w:t>
      </w:r>
      <w:r w:rsidR="005D5A35">
        <w:rPr>
          <w:rFonts w:ascii="Arial" w:hAnsi="Arial" w:cs="Arial"/>
          <w:noProof/>
          <w:color w:val="000000"/>
        </w:rPr>
        <w:t xml:space="preserve"> (MEDIASA)</w:t>
      </w:r>
      <w:r>
        <w:rPr>
          <w:rFonts w:ascii="Arial" w:hAnsi="Arial" w:cs="Arial"/>
          <w:noProof/>
          <w:color w:val="000000"/>
        </w:rPr>
        <w:t xml:space="preserve"> y Corpus de Construcciones Impersonales)</w:t>
      </w:r>
      <w:r w:rsidRPr="00351CC6">
        <w:rPr>
          <w:rFonts w:ascii="Arial" w:hAnsi="Arial" w:cs="Arial"/>
          <w:noProof/>
          <w:color w:val="000000"/>
        </w:rPr>
        <w:t xml:space="preserve">, en los que aparece representada una notable variedad de grupos </w:t>
      </w:r>
      <w:r>
        <w:rPr>
          <w:rFonts w:ascii="Arial" w:hAnsi="Arial" w:cs="Arial"/>
          <w:noProof/>
          <w:color w:val="000000"/>
        </w:rPr>
        <w:t>sociodemográficos</w:t>
      </w:r>
      <w:r w:rsidRPr="00351CC6">
        <w:rPr>
          <w:rFonts w:ascii="Arial" w:hAnsi="Arial" w:cs="Arial"/>
          <w:noProof/>
          <w:color w:val="000000"/>
        </w:rPr>
        <w:t xml:space="preserve"> y situaciones comunicativas, y que por ello resultan adecuados para el análisis de orientación discursiva y sociolingüística. Se plantea</w:t>
      </w:r>
      <w:r>
        <w:rPr>
          <w:rFonts w:ascii="Arial" w:hAnsi="Arial" w:cs="Arial"/>
          <w:noProof/>
          <w:color w:val="000000"/>
        </w:rPr>
        <w:t>n</w:t>
      </w:r>
      <w:r w:rsidRPr="00351CC6">
        <w:rPr>
          <w:rFonts w:ascii="Arial" w:hAnsi="Arial" w:cs="Arial"/>
          <w:noProof/>
          <w:color w:val="000000"/>
        </w:rPr>
        <w:t xml:space="preserve"> la</w:t>
      </w:r>
      <w:r>
        <w:rPr>
          <w:rFonts w:ascii="Arial" w:hAnsi="Arial" w:cs="Arial"/>
          <w:noProof/>
          <w:color w:val="000000"/>
        </w:rPr>
        <w:t>s</w:t>
      </w:r>
      <w:r w:rsidRPr="00351CC6">
        <w:rPr>
          <w:rFonts w:ascii="Arial" w:hAnsi="Arial" w:cs="Arial"/>
          <w:noProof/>
          <w:color w:val="000000"/>
        </w:rPr>
        <w:t xml:space="preserve"> hipótesis de que los distintos factores que covarían con las elecciones lingüísticas poseen una relación semiótica con los valores cognitivos de estas, y que la conjunción de todos ellos propicia el desarrollo de estilos sociocomunicativos</w:t>
      </w:r>
      <w:r>
        <w:rPr>
          <w:rFonts w:ascii="Arial" w:hAnsi="Arial" w:cs="Arial"/>
          <w:noProof/>
          <w:color w:val="000000"/>
        </w:rPr>
        <w:t xml:space="preserve">; </w:t>
      </w:r>
      <w:r w:rsidRPr="00351CC6">
        <w:rPr>
          <w:rFonts w:ascii="Arial" w:hAnsi="Arial" w:cs="Arial"/>
          <w:noProof/>
          <w:color w:val="000000"/>
        </w:rPr>
        <w:t xml:space="preserve">hipótesis que se ven apoyadas por los resultados de los proyectos previos sobre la variación del sujeto pronominal. Por ello, </w:t>
      </w:r>
      <w:r>
        <w:rPr>
          <w:rFonts w:ascii="Arial" w:hAnsi="Arial" w:cs="Arial"/>
          <w:noProof/>
          <w:color w:val="000000"/>
        </w:rPr>
        <w:t xml:space="preserve">resulta obvio que </w:t>
      </w:r>
      <w:r w:rsidRPr="00351CC6">
        <w:rPr>
          <w:rFonts w:ascii="Arial" w:hAnsi="Arial" w:cs="Arial"/>
          <w:noProof/>
          <w:color w:val="000000"/>
        </w:rPr>
        <w:t xml:space="preserve">el enfoque y la metodología de estudio de la variación gramatical deben </w:t>
      </w:r>
      <w:r>
        <w:rPr>
          <w:rFonts w:ascii="Arial" w:hAnsi="Arial" w:cs="Arial"/>
          <w:noProof/>
          <w:color w:val="000000"/>
        </w:rPr>
        <w:t>continuar ampliándose</w:t>
      </w:r>
      <w:r w:rsidRPr="00351CC6">
        <w:rPr>
          <w:rFonts w:ascii="Arial" w:hAnsi="Arial" w:cs="Arial"/>
          <w:noProof/>
          <w:color w:val="000000"/>
        </w:rPr>
        <w:t xml:space="preserve"> para abordar adecuadamente el potencial significativo de las</w:t>
      </w:r>
      <w:r>
        <w:rPr>
          <w:rFonts w:ascii="Arial" w:hAnsi="Arial" w:cs="Arial"/>
          <w:noProof/>
          <w:color w:val="000000"/>
        </w:rPr>
        <w:t xml:space="preserve"> </w:t>
      </w:r>
      <w:r w:rsidRPr="00351CC6">
        <w:rPr>
          <w:rFonts w:ascii="Arial" w:hAnsi="Arial" w:cs="Arial"/>
          <w:noProof/>
          <w:color w:val="000000"/>
        </w:rPr>
        <w:t>variantes formales. El objetivo último de la</w:t>
      </w:r>
      <w:r>
        <w:rPr>
          <w:rFonts w:ascii="Arial" w:hAnsi="Arial" w:cs="Arial"/>
          <w:noProof/>
          <w:color w:val="000000"/>
        </w:rPr>
        <w:t xml:space="preserve"> </w:t>
      </w:r>
      <w:r w:rsidRPr="00351CC6">
        <w:rPr>
          <w:rFonts w:ascii="Arial" w:hAnsi="Arial" w:cs="Arial"/>
          <w:noProof/>
          <w:color w:val="000000"/>
        </w:rPr>
        <w:t>investigación es desarrollar una teoría explicativa de la variación lingüística como reflejo de la percepción humana de los procesos de la realidad, y a la vez como instrumento de relación con el entorno.</w:t>
      </w:r>
    </w:p>
    <w:sectPr w:rsidR="00BD3339" w:rsidRPr="00C0717D" w:rsidSect="004556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A2D"/>
    <w:multiLevelType w:val="hybridMultilevel"/>
    <w:tmpl w:val="D8189B5C"/>
    <w:lvl w:ilvl="0" w:tplc="2EDC36E8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D"/>
    <w:rsid w:val="004556F6"/>
    <w:rsid w:val="005D5A35"/>
    <w:rsid w:val="00BD3339"/>
    <w:rsid w:val="00C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77C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717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848</Words>
  <Characters>4667</Characters>
  <Application>Microsoft Macintosh Word</Application>
  <DocSecurity>0</DocSecurity>
  <Lines>38</Lines>
  <Paragraphs>11</Paragraphs>
  <ScaleCrop>false</ScaleCrop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GALLEGO SERRANO</dc:creator>
  <cp:keywords/>
  <dc:description/>
  <cp:lastModifiedBy>EDWIN GALLEGO SERRANO</cp:lastModifiedBy>
  <cp:revision>2</cp:revision>
  <dcterms:created xsi:type="dcterms:W3CDTF">2016-09-28T15:55:00Z</dcterms:created>
  <dcterms:modified xsi:type="dcterms:W3CDTF">2016-09-28T16:05:00Z</dcterms:modified>
</cp:coreProperties>
</file>